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b/>
          <w:bCs/>
          <w:color w:val="2E6B4F"/>
          <w:sz w:val="40"/>
          <w:szCs w:val="40"/>
        </w:rPr>
        <w:t xml:space="preserve">Market-Intelligence Engine — Starter Example Pack</w:t>
      </w:r>
    </w:p>
    <w:p>
      <w:pPr>
        <w:spacing w:after="240"/>
      </w:pPr>
      <w:r>
        <w:rPr>
          <w:color w:val="555555"/>
          <w:sz w:val="28"/>
          <w:szCs w:val="28"/>
        </w:rPr>
        <w:t xml:space="preserve">Companion to the AI Development Brief</w:t>
      </w:r>
    </w:p>
    <w:p>
      <w:pPr>
        <w:pBdr>
          <w:bottom w:val="single" w:color="2E6B4F" w:sz="12" w:space="4"/>
        </w:pBdr>
        <w:spacing w:after="200"/>
      </w:pPr>
      <w:r>
        <w:t xml:space="preserve"/>
      </w:r>
    </w:p>
    <w:p>
      <w:pPr>
        <w:spacing w:after="160" w:line="276"/>
      </w:pPr>
      <w:r>
        <w:rPr>
          <w:b w:val="false"/>
          <w:bCs w:val="false"/>
          <w:i w:val="false"/>
          <w:iCs w:val="false"/>
        </w:rPr>
        <w:t xml:space="preserve">The development brief tells your AI </w:t>
      </w:r>
      <w:r>
        <w:rPr>
          <w:b w:val="false"/>
          <w:bCs w:val="false"/>
          <w:i/>
          <w:iCs/>
        </w:rPr>
        <w:t xml:space="preserve">what</w:t>
      </w:r>
      <w:r>
        <w:rPr>
          <w:b w:val="false"/>
          <w:bCs w:val="false"/>
          <w:i w:val="false"/>
          <w:iCs w:val="false"/>
        </w:rPr>
        <w:t xml:space="preserve"> to build. This pack shows it </w:t>
      </w:r>
      <w:r>
        <w:rPr>
          <w:b w:val="false"/>
          <w:bCs w:val="false"/>
          <w:i/>
          <w:iCs/>
        </w:rPr>
        <w:t xml:space="preserve">how good the inside should be</w:t>
      </w:r>
      <w:r>
        <w:rPr>
          <w:b w:val="false"/>
          <w:bCs w:val="false"/>
          <w:i w:val="false"/>
          <w:iCs w:val="false"/>
        </w:rPr>
        <w:t xml:space="preserve">. The architecture in the brief is reproducible on its own, but the quality of the result depends almost entirely on three things the brief can only describe in the abstract: the analytical prompts, the report template, and how you get clean inputs in. Below is one real, worked instance of each, so your AI has a model to match rather than a blank to fill.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Use both documents together</w:t>
            </w:r>
          </w:p>
          <w:p>
            <w:pPr>
              <w:spacing w:line="264"/>
            </w:pPr>
            <w:r>
              <w:rPr>
                <w:b w:val="false"/>
                <w:bCs w:val="false"/>
                <w:i w:val="false"/>
                <w:iCs w:val="false"/>
              </w:rPr>
              <w:t xml:space="preserve">This pack is the companion to the </w:t>
            </w:r>
            <w:r>
              <w:rPr>
                <w:b/>
                <w:bCs/>
                <w:i w:val="false"/>
                <w:iCs w:val="false"/>
              </w:rPr>
              <w:t xml:space="preserve">AI Development Brief</w:t>
            </w:r>
            <w:r>
              <w:rPr>
                <w:b w:val="false"/>
                <w:bCs w:val="false"/>
                <w:i w:val="false"/>
                <w:iCs w:val="false"/>
              </w:rPr>
              <w:t xml:space="preserve">. The two are meant to be used as a pair: provide BOTH to your AI in the same conversation. Tell it: “Use the brief as the build specification. Use Part 1 of this pack as the actual analytical prompts (adapt the wording to my domain, keep the placeholders). Use Part 2 as the level of specificity my report template must reach — but write mine for my own domain and quality bar, do not copy it. Follow Part 3 when building how I feed inputs in.” The point is calibration, not copying.</w:t>
            </w:r>
          </w:p>
        </w:tc>
      </w:tr>
    </w:tbl>
    <w:p>
      <w:pPr>
        <w:spacing w:after="120"/>
      </w:pPr>
      <w:r>
        <w:rPr>
          <w:b/>
          <w:bCs/>
          <w:sz w:val="26"/>
          <w:szCs w:val="26"/>
        </w:rPr>
        <w:t xml:space="preserve">Contents</w:t>
      </w:r>
    </w:p>
    <w:p>
      <w:pPr>
        <w:spacing w:after="60"/>
        <w:ind w:left="60"/>
      </w:pPr>
      <w:hyperlink w:history="1" w:anchor="p1">
        <w:r>
          <w:rPr>
            <w:color w:val="2E6B4F"/>
            <w:sz w:val="22"/>
            <w:szCs w:val="22"/>
          </w:rPr>
          <w:t xml:space="preserve">Part 1 — Two real analytical prompts (use these)</w:t>
        </w:r>
      </w:hyperlink>
    </w:p>
    <w:p>
      <w:pPr>
        <w:spacing w:after="60"/>
        <w:ind w:left="60"/>
      </w:pPr>
      <w:hyperlink w:history="1" w:anchor="p2">
        <w:r>
          <w:rPr>
            <w:color w:val="2E6B4F"/>
            <w:sz w:val="22"/>
            <w:szCs w:val="22"/>
          </w:rPr>
          <w:t xml:space="preserve">Part 2 — A worked report template (match this depth)</w:t>
        </w:r>
      </w:hyperlink>
    </w:p>
    <w:p>
      <w:pPr>
        <w:spacing w:after="60"/>
        <w:ind w:left="60"/>
      </w:pPr>
      <w:hyperlink w:history="1" w:anchor="p3">
        <w:r>
          <w:rPr>
            <w:color w:val="2E6B4F"/>
            <w:sz w:val="22"/>
            <w:szCs w:val="22"/>
          </w:rPr>
          <w:t xml:space="preserve">Part 3 — Getting inputs in without breaking things</w:t>
        </w:r>
      </w:hyperlink>
    </w:p>
    <w:p>
      <w:pPr>
        <w:spacing w:after="60"/>
        <w:ind w:left="60"/>
      </w:pPr>
      <w:hyperlink w:history="1" w:anchor="p4">
        <w:r>
          <w:rPr>
            <w:color w:val="2E6B4F"/>
            <w:sz w:val="22"/>
            <w:szCs w:val="22"/>
          </w:rPr>
          <w:t xml:space="preserve">Part 4 — What goes wrong on a first build (from real experience)</w:t>
        </w:r>
      </w:hyperlink>
    </w:p>
    <w:p>
      <w:r>
        <w:br w:type="page"/>
      </w:r>
    </w:p>
    <w:p>
      <w:pPr>
        <w:pStyle w:val="Heading1"/>
      </w:pPr>
      <w:bookmarkStart w:name="p1" w:id="1"/>
      <w:r>
        <w:t xml:space="preserve">Part 1 — Two Real Analytical Prompts</w:t>
      </w:r>
      <w:bookmarkEnd w:id="1"/>
    </w:p>
    <w:p>
      <w:pPr>
        <w:spacing w:after="160" w:line="276"/>
      </w:pPr>
      <w:r>
        <w:rPr>
          <w:b w:val="false"/>
          <w:bCs w:val="false"/>
          <w:i w:val="false"/>
          <w:iCs w:val="false"/>
        </w:rPr>
        <w:t xml:space="preserve">These are two of the five analytical prompts a real engine runs in parallel (the others follow the same shape). They are reproduced verbatim so you can see the </w:t>
      </w:r>
      <w:r>
        <w:rPr>
          <w:b w:val="false"/>
          <w:bCs w:val="false"/>
          <w:i/>
          <w:iCs/>
        </w:rPr>
        <w:t xml:space="preserve">register</w:t>
      </w:r>
      <w:r>
        <w:rPr>
          <w:b w:val="false"/>
          <w:bCs w:val="false"/>
          <w:i w:val="false"/>
          <w:iCs w:val="false"/>
        </w:rPr>
        <w:t xml:space="preserve"> an analytical prompt needs — it assigns the model a role, names a concrete method, demands a fixed output structure, and uses two placeholders the engine fills at run time.</w:t>
      </w:r>
    </w:p>
    <w:p>
      <w:pPr>
        <w:spacing w:after="160" w:line="276"/>
      </w:pPr>
      <w:r>
        <w:rPr>
          <w:b w:val="false"/>
          <w:bCs w:val="false"/>
          <w:i w:val="false"/>
          <w:iCs w:val="false"/>
        </w:rPr>
        <w:t xml:space="preserve">The placeholder convention is the important mechanic: </w:t>
      </w:r>
      <w:r>
        <w:rPr>
          <w:b/>
          <w:bCs/>
          <w:i w:val="false"/>
          <w:iCs w:val="false"/>
        </w:rPr>
        <w:t xml:space="preserve">{{TARGET_MARKET}}</w:t>
      </w:r>
      <w:r>
        <w:rPr>
          <w:b w:val="false"/>
          <w:bCs w:val="false"/>
          <w:i w:val="false"/>
          <w:iCs w:val="false"/>
        </w:rPr>
        <w:t xml:space="preserve"> is replaced with your subject-lens’s targeting label, and </w:t>
      </w:r>
      <w:r>
        <w:rPr>
          <w:b/>
          <w:bCs/>
          <w:i w:val="false"/>
          <w:iCs w:val="false"/>
        </w:rPr>
        <w:t xml:space="preserve">{{BOOK_TITLES}}</w:t>
      </w:r>
      <w:r>
        <w:rPr>
          <w:b w:val="false"/>
          <w:bCs w:val="false"/>
          <w:i w:val="false"/>
          <w:iCs w:val="false"/>
        </w:rPr>
        <w:t xml:space="preserve"> is replaced with the input corpus the user pastes into the brief form. In your domain, rename them to fit (e.g. {{NICHE}} and {{ITEMS}}) but keep the same fill-at-runtime pattern. These are written for fiction-title analysis; adapt the wording, keep the bones.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Where these came from</w:t>
            </w:r>
          </w:p>
          <w:p>
            <w:pPr>
              <w:spacing w:line="264"/>
            </w:pPr>
            <w:r>
              <w:rPr>
                <w:b w:val="false"/>
                <w:bCs w:val="false"/>
                <w:i w:val="false"/>
                <w:iCs w:val="false"/>
              </w:rPr>
              <w:t xml:space="preserve">These are the “KDSpy” analytical prompts — a known prompt set circulated among indie authors for market analysis. They are shared here as-is because they are not proprietary to any one author. The </w:t>
            </w:r>
            <w:r>
              <w:rPr>
                <w:b w:val="false"/>
                <w:bCs w:val="false"/>
                <w:i/>
                <w:iCs/>
              </w:rPr>
              <w:t xml:space="preserve">value you add</w:t>
            </w:r>
            <w:r>
              <w:rPr>
                <w:b w:val="false"/>
                <w:bCs w:val="false"/>
                <w:i w:val="false"/>
                <w:iCs w:val="false"/>
              </w:rPr>
              <w:t xml:space="preserve"> is the synthesis layer and the brand filter that sit on top of them (Part 2), not the analytical prompts themselves.</w:t>
            </w:r>
          </w:p>
        </w:tc>
      </w:tr>
    </w:tbl>
    <w:p>
      <w:pPr>
        <w:pStyle w:val="Heading2"/>
      </w:pPr>
      <w:r>
        <w:t xml:space="preserve">Prompt 1 — Trend Analysis (“ALTA”)</w:t>
      </w:r>
    </w:p>
    <w:p>
      <w:pPr>
        <w:spacing w:after="160" w:line="276"/>
      </w:pPr>
      <w:r>
        <w:rPr>
          <w:b w:val="false"/>
          <w:bCs w:val="false"/>
          <w:i w:val="false"/>
          <w:iCs w:val="false"/>
        </w:rPr>
        <w:t xml:space="preserve">Run against the title corpus. Produces positive/negative trend signal and recommendations. Saved as one analysis pass.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8D2C4" w:sz="4"/>
              <w:left w:val="single" w:color="D8D2C4" w:sz="4"/>
              <w:bottom w:val="single" w:color="D8D2C4" w:sz="4"/>
              <w:right w:val="single" w:color="D8D2C4" w:sz="4"/>
            </w:tcBorders>
            <w:shd w:fill="F4F2EC" w:val="clear"/>
            <w:tcMar>
              <w:top w:type="dxa" w:w="120"/>
              <w:left w:type="dxa" w:w="160"/>
              <w:bottom w:type="dxa" w:w="120"/>
              <w:right w:type="dxa" w:w="160"/>
            </w:tcMar>
          </w:tcPr>
          <w:p>
            <w:pPr>
              <w:spacing w:after="0" w:line="240"/>
            </w:pPr>
            <w:r>
              <w:rPr>
                <w:rFonts w:ascii="Courier New" w:cs="Courier New" w:eastAsia="Courier New" w:hAnsi="Courier New"/>
                <w:sz w:val="17"/>
                <w:szCs w:val="17"/>
              </w:rPr>
              <w:t xml:space="preserve">I want you to act as a trend forecaster for authors that are looking to publish books for a specific target market. Use a combination of Sentiment analysis, Topic modeling, Machine learning, Natural language processing (NLP), Network analysis, and publicly available data and reports from multiple sources, including Google Trends, social media, online forums, book review sites, industry reports, and based on the bestselling book titles on the subject below.</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TARGET MARKET: {{TARGET_MARKET}}</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BOOK TITLES: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{{BOOK_TITLES}}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TASK: Provide an Asymmetric Linguistic Trend Analysis (ALTA) report on the book TARGET MARKET. Include both positive and negative trends, and provide recommendations for authors looking to succeed in this market. Also incorporate other data sources that you deem relevant to create a more diverse and comprehensive data set to gain more accurate and actionable insights for authors.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Report based on:</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1. Positive Trends:</w:t>
            </w:r>
          </w:p>
          <w:p>
            <w:pPr>
              <w:spacing w:after="0" w:line="240"/>
            </w:pPr>
            <w:r>
              <w:rPr>
                <w:rFonts w:ascii="Courier New" w:cs="Courier New" w:eastAsia="Courier New" w:hAnsi="Courier New"/>
                <w:sz w:val="17"/>
                <w:szCs w:val="17"/>
              </w:rPr>
              <w:t xml:space="preserve">2. Negative Trends:</w:t>
            </w:r>
          </w:p>
          <w:p>
            <w:pPr>
              <w:spacing w:after="0" w:line="240"/>
            </w:pPr>
            <w:r>
              <w:rPr>
                <w:rFonts w:ascii="Courier New" w:cs="Courier New" w:eastAsia="Courier New" w:hAnsi="Courier New"/>
                <w:sz w:val="17"/>
                <w:szCs w:val="17"/>
              </w:rPr>
              <w:t xml:space="preserve">3. Recommendations:</w:t>
            </w:r>
          </w:p>
          <w:p>
            <w:pPr>
              <w:spacing w:after="0" w:line="240"/>
            </w:pPr>
            <w:r>
              <w:rPr>
                <w:rFonts w:ascii="Courier New" w:cs="Courier New" w:eastAsia="Courier New" w:hAnsi="Courier New"/>
                <w:sz w:val="17"/>
                <w:szCs w:val="17"/>
              </w:rPr>
              <w:t xml:space="preserve">4: Insights from Other Data Sources: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FORMAT: Use markdown formattings such as headings ( ### H4, #### H5), bullet points (-), and numbered lists (1.) to organize and structure the output where applicable.</w:t>
            </w:r>
          </w:p>
        </w:tc>
      </w:tr>
    </w:tbl>
    <w:p>
      <w:pPr>
        <w:pStyle w:val="Heading2"/>
      </w:pPr>
      <w:r>
        <w:t xml:space="preserve">Prompt 2 — Key Success Factors</w:t>
      </w:r>
    </w:p>
    <w:p>
      <w:pPr>
        <w:spacing w:after="160" w:line="276"/>
      </w:pPr>
      <w:r>
        <w:rPr>
          <w:b w:val="false"/>
          <w:bCs w:val="false"/>
          <w:i w:val="false"/>
          <w:iCs w:val="false"/>
        </w:rPr>
        <w:t xml:space="preserve">Run against the same corpus, in parallel. Extracts the underlying success patterns across the bestsellers. Saved as a second analysis pass; synthesis later reconciles all passes through your brand filter.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8D2C4" w:sz="4"/>
              <w:left w:val="single" w:color="D8D2C4" w:sz="4"/>
              <w:bottom w:val="single" w:color="D8D2C4" w:sz="4"/>
              <w:right w:val="single" w:color="D8D2C4" w:sz="4"/>
            </w:tcBorders>
            <w:shd w:fill="F4F2EC" w:val="clear"/>
            <w:tcMar>
              <w:top w:type="dxa" w:w="120"/>
              <w:left w:type="dxa" w:w="160"/>
              <w:bottom w:type="dxa" w:w="120"/>
              <w:right w:type="dxa" w:w="160"/>
            </w:tcMar>
          </w:tcPr>
          <w:p>
            <w:pPr>
              <w:spacing w:after="0" w:line="240"/>
            </w:pPr>
            <w:r>
              <w:rPr>
                <w:rFonts w:ascii="Courier New" w:cs="Courier New" w:eastAsia="Courier New" w:hAnsi="Courier New"/>
                <w:sz w:val="17"/>
                <w:szCs w:val="17"/>
              </w:rPr>
              <w:t xml:space="preserve">ACT: You are to act as an innovative high-level literary agent for fiction authors who can suggest bestselling book ideas based on your EXPERTISE and SKILLSET.</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EXPERTISE: Selling book proposals and manuscripts to publishers, negotiating book contracts on behalf of clients, deep understanding of the literary craft and the fiction book market, developing and refining manuscripts, deep understanding of character development and plot structure, advanced copywriting and persuasion skills, with psychographic and qualitative data expertise, and knowledge of current trends in the fiction market.</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SKILLSET: Creative writing, narrative structure, plot development, character development, world-building, theme exploration, dialogue creation, genre understanding, subtext analysis, research skills for character development and historical accuracy, and a knack for identifying reader interests and preferences.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TASK: Using machine learning and predictive modeling, analyze the bestselling fiction BOOK TITLES (provided below), Goodreads and Barnes &amp; Noble to identify the patterns, similarities and underlying principles or elements that make them successful. Leverage customer reviews and ratings, market research, on-site analytics, and social media insights to gain a deeper understanding of reader demographics, interests, and sentiment towards certain books. Incorporate data from the top authors in the genre to identify any key elements that could be incorporated into your new book idea. Finally, use your expertise and skillset to develop a new book idea that is both attention-grabbing and compelling, and explain how this new idea will address the key factors that are driving the success of the analyzed books in a unique way.</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BOOK TITLES: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{{BOOK_TITLES}}</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GENRE: {{TARGET_MARKET}}</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OUTPUT: Comprehensive report (concise, poignant, novel, clear) including patterns, trends, similarities, book idea and clear next steps for the client on validating the book title idea.</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FORMAT: Markdown with #H2, #H3, **bold**, ordered and unordered lists.</w:t>
            </w:r>
          </w:p>
        </w:tc>
      </w:tr>
    </w:tbl>
    <w:p>
      <w:pPr>
        <w:pBdr>
          <w:bottom w:val="single" w:color="C8D6CD" w:sz="6" w:space="1"/>
        </w:pBdr>
        <w:spacing w:after="120" w:before="120"/>
      </w:pPr>
      <w:r>
        <w:t xml:space="preserve"/>
      </w:r>
    </w:p>
    <w:p>
      <w:pPr>
        <w:pStyle w:val="Heading1"/>
      </w:pPr>
      <w:bookmarkStart w:name="p2" w:id="1"/>
      <w:r>
        <w:t xml:space="preserve">Part 2 — A Worked Report Template</w:t>
      </w:r>
      <w:bookmarkEnd w:id="1"/>
    </w:p>
    <w:p>
      <w:pPr>
        <w:spacing w:after="160" w:line="276"/>
      </w:pPr>
      <w:r>
        <w:rPr>
          <w:b w:val="false"/>
          <w:bCs w:val="false"/>
          <w:i w:val="false"/>
          <w:iCs w:val="false"/>
        </w:rPr>
        <w:t xml:space="preserve">This is the part the brief can only gesture at, and the part that separates a sharp tool from a generic one. A report template is not a neutral outline — it encodes hard-won, opinionated domain knowledge as </w:t>
      </w:r>
      <w:r>
        <w:rPr>
          <w:b/>
          <w:bCs/>
          <w:i w:val="false"/>
          <w:iCs w:val="false"/>
        </w:rPr>
        <w:t xml:space="preserve">section guidance</w:t>
      </w:r>
      <w:r>
        <w:rPr>
          <w:b w:val="false"/>
          <w:bCs w:val="false"/>
          <w:i w:val="false"/>
          <w:iCs w:val="false"/>
        </w:rPr>
        <w:t xml:space="preserve">, </w:t>
      </w:r>
      <w:r>
        <w:rPr>
          <w:b/>
          <w:bCs/>
          <w:i w:val="false"/>
          <w:iCs w:val="false"/>
        </w:rPr>
        <w:t xml:space="preserve">synthesis rules</w:t>
      </w:r>
      <w:r>
        <w:rPr>
          <w:b w:val="false"/>
          <w:bCs w:val="false"/>
          <w:i w:val="false"/>
          <w:iCs w:val="false"/>
        </w:rPr>
        <w:t xml:space="preserve"> (the non-negotiables the output is judged against), and a </w:t>
      </w:r>
      <w:r>
        <w:rPr>
          <w:b/>
          <w:bCs/>
          <w:i w:val="false"/>
          <w:iCs w:val="false"/>
        </w:rPr>
        <w:t xml:space="preserve">quality gate</w:t>
      </w:r>
      <w:r>
        <w:rPr>
          <w:b w:val="false"/>
          <w:bCs w:val="false"/>
          <w:i w:val="false"/>
          <w:iCs w:val="false"/>
        </w:rPr>
        <w:t xml:space="preserve"> (the checklist every idea must pass).</w:t>
      </w:r>
    </w:p>
    <w:p>
      <w:pPr>
        <w:spacing w:after="160" w:line="276"/>
      </w:pPr>
      <w:r>
        <w:rPr>
          <w:b w:val="false"/>
          <w:bCs w:val="false"/>
          <w:i w:val="false"/>
          <w:iCs w:val="false"/>
        </w:rPr>
        <w:t xml:space="preserve">The worked example below is for a </w:t>
      </w:r>
      <w:r>
        <w:rPr>
          <w:b/>
          <w:bCs/>
          <w:i w:val="false"/>
          <w:iCs w:val="false"/>
        </w:rPr>
        <w:t xml:space="preserve">Historical Horror</w:t>
      </w:r>
      <w:r>
        <w:rPr>
          <w:b w:val="false"/>
          <w:bCs w:val="false"/>
          <w:i w:val="false"/>
          <w:iCs w:val="false"/>
        </w:rPr>
        <w:t xml:space="preserve"> pen name. Read it for </w:t>
      </w:r>
      <w:r>
        <w:rPr>
          <w:b w:val="false"/>
          <w:bCs w:val="false"/>
          <w:i/>
          <w:iCs/>
        </w:rPr>
        <w:t xml:space="preserve">how specific and load-bearing each line is</w:t>
      </w:r>
      <w:r>
        <w:rPr>
          <w:b w:val="false"/>
          <w:bCs w:val="false"/>
          <w:i w:val="false"/>
          <w:iCs w:val="false"/>
        </w:rPr>
        <w:t xml:space="preserve"> — every rule names a concrete trap or lever, not a vague aspiration. When you build your own template, reach this level of specificity for </w:t>
      </w:r>
      <w:r>
        <w:rPr>
          <w:b w:val="false"/>
          <w:bCs w:val="false"/>
          <w:i/>
          <w:iCs/>
        </w:rPr>
        <w:t xml:space="preserve">your</w:t>
      </w:r>
      <w:r>
        <w:rPr>
          <w:b w:val="false"/>
          <w:bCs w:val="false"/>
          <w:i w:val="false"/>
          <w:iCs w:val="false"/>
        </w:rPr>
        <w:t xml:space="preserve"> domain. Do not reuse this content; it is a calibration sample, and its rules belong to historical horror, not to you.</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What to copy and what not to</w:t>
            </w:r>
          </w:p>
          <w:p>
            <w:pPr>
              <w:spacing w:line="264"/>
            </w:pPr>
            <w:r>
              <w:rPr>
                <w:b w:val="false"/>
                <w:bCs w:val="false"/>
                <w:i w:val="false"/>
                <w:iCs w:val="false"/>
              </w:rPr>
              <w:t xml:space="preserve">COPY: the four-part shape (section guidance → synthesis rules → quality gate → a generic seed framework), and the habit of making every line name a real, falsifiable thing. DO NOT COPY: these specific rules — they are tuned to one made-up brand in one genre. Your synthesis rules and gate are where </w:t>
            </w:r>
            <w:r>
              <w:rPr>
                <w:b w:val="false"/>
                <w:bCs w:val="false"/>
                <w:i/>
                <w:iCs/>
              </w:rPr>
              <w:t xml:space="preserve">your</w:t>
            </w:r>
            <w:r>
              <w:rPr>
                <w:b w:val="false"/>
                <w:bCs w:val="false"/>
                <w:i w:val="false"/>
                <w:iCs w:val="false"/>
              </w:rPr>
              <w:t xml:space="preserve"> taste and your market knowledge live; that is the work only you can do.</w:t>
            </w:r>
          </w:p>
        </w:tc>
      </w:tr>
    </w:tbl>
    <w:p>
      <w:pPr>
        <w:pStyle w:val="Heading2"/>
      </w:pPr>
      <w:r>
        <w:t xml:space="preserve">A. Report sections (with guidance)</w:t>
      </w:r>
    </w:p>
    <w:p>
      <w:pPr>
        <w:spacing w:after="160" w:line="276"/>
      </w:pPr>
      <w:r>
        <w:rPr>
          <w:b w:val="false"/>
          <w:bCs w:val="false"/>
          <w:i w:val="false"/>
          <w:iCs w:val="false"/>
        </w:rPr>
        <w:t xml:space="preserve">Each section carries a one-line title and a guidance string telling synthesis exactly what to put there. Notice the guidance is </w:t>
      </w:r>
      <w:r>
        <w:rPr>
          <w:b w:val="false"/>
          <w:bCs w:val="false"/>
          <w:i/>
          <w:iCs/>
        </w:rPr>
        <w:t xml:space="preserve">directive</w:t>
      </w:r>
      <w:r>
        <w:rPr>
          <w:b w:val="false"/>
          <w:bCs w:val="false"/>
          <w:i w:val="false"/>
          <w:iCs w:val="false"/>
        </w:rPr>
        <w:t xml:space="preserve">, not descriptive.</w:t>
      </w:r>
    </w:p>
    <w:p>
      <w:pPr>
        <w:pStyle w:val="ListParagraph"/>
        <w:numPr>
          <w:ilvl w:val="0"/>
          <w:numId w:val="2"/>
        </w:numPr>
        <w:spacing w:after="80" w:line="264"/>
      </w:pPr>
      <w:r>
        <w:rPr>
          <w:b/>
          <w:bCs/>
          <w:i w:val="false"/>
          <w:iCs w:val="false"/>
        </w:rPr>
        <w:t xml:space="preserve">00 — Header. </w:t>
      </w:r>
      <w:r>
        <w:rPr>
          <w:b w:val="false"/>
          <w:bCs w:val="false"/>
          <w:i w:val="false"/>
          <w:iCs w:val="false"/>
        </w:rPr>
        <w:t xml:space="preserve">Pen name, sub-genre, the committed period + locale (e.g. 1880s Appalachia), the dread engine (what supplies the fear), comp shelf + competition read, data sources + freshness, and a one-line GREEN/YELLOW/RED verdict.</w:t>
      </w:r>
    </w:p>
    <w:p>
      <w:pPr>
        <w:pStyle w:val="ListParagraph"/>
        <w:numPr>
          <w:ilvl w:val="0"/>
          <w:numId w:val="2"/>
        </w:numPr>
        <w:spacing w:after="80" w:line="264"/>
      </w:pPr>
      <w:r>
        <w:rPr>
          <w:b/>
          <w:bCs/>
          <w:i w:val="false"/>
          <w:iCs w:val="false"/>
        </w:rPr>
        <w:t xml:space="preserve">01 — Fear Stack (by function). </w:t>
      </w:r>
      <w:r>
        <w:rPr>
          <w:b w:val="false"/>
          <w:bCs w:val="false"/>
          <w:i w:val="false"/>
          <w:iCs w:val="false"/>
        </w:rPr>
        <w:t xml:space="preserve">FIVE functional slots, dread-led: Dread Source / Period Anchor / Threat Logic / Human Cost / Turn. Lead with the Dread Source — the specific fear is the biggest competitive lever; “historical horror” unhooked is saturated.</w:t>
      </w:r>
    </w:p>
    <w:p>
      <w:pPr>
        <w:pStyle w:val="ListParagraph"/>
        <w:numPr>
          <w:ilvl w:val="0"/>
          <w:numId w:val="2"/>
        </w:numPr>
        <w:spacing w:after="80" w:line="264"/>
      </w:pPr>
      <w:r>
        <w:rPr>
          <w:b/>
          <w:bCs/>
          <w:i w:val="false"/>
          <w:iCs w:val="false"/>
        </w:rPr>
        <w:t xml:space="preserve">02 — Cast &amp; POV. </w:t>
      </w:r>
      <w:r>
        <w:rPr>
          <w:b w:val="false"/>
          <w:bCs w:val="false"/>
          <w:i w:val="false"/>
          <w:iCs w:val="false"/>
        </w:rPr>
        <w:t xml:space="preserve">The protagonist’s vantage (witness / investigator / victim-survivor), why they cannot simply leave, and the small human ensemble whose loss makes the dread cost something. Name the POV distance that fits the period voice.</w:t>
      </w:r>
    </w:p>
    <w:p>
      <w:pPr>
        <w:pStyle w:val="ListParagraph"/>
        <w:numPr>
          <w:ilvl w:val="0"/>
          <w:numId w:val="2"/>
        </w:numPr>
        <w:spacing w:after="80" w:line="264"/>
      </w:pPr>
      <w:r>
        <w:rPr>
          <w:b/>
          <w:bCs/>
          <w:i w:val="false"/>
          <w:iCs w:val="false"/>
        </w:rPr>
        <w:t xml:space="preserve">03 — Period &amp; Texture. </w:t>
      </w:r>
      <w:r>
        <w:rPr>
          <w:b w:val="false"/>
          <w:bCs w:val="false"/>
          <w:i w:val="false"/>
          <w:iCs w:val="false"/>
        </w:rPr>
        <w:t xml:space="preserve">The researched detail that earns authenticity (trades, language, material culture) without becoming a textbook. Flag anachronism risks. Title/cover conventions of the charting lane (period noun phrases; bleak-but-elegant typography).</w:t>
      </w:r>
    </w:p>
    <w:p>
      <w:pPr>
        <w:pStyle w:val="ListParagraph"/>
        <w:numPr>
          <w:ilvl w:val="0"/>
          <w:numId w:val="2"/>
        </w:numPr>
        <w:spacing w:after="80" w:line="264"/>
      </w:pPr>
      <w:r>
        <w:rPr>
          <w:b/>
          <w:bCs/>
          <w:i w:val="false"/>
          <w:iCs w:val="false"/>
        </w:rPr>
        <w:t xml:space="preserve">04 — Comps. </w:t>
      </w:r>
      <w:r>
        <w:rPr>
          <w:b w:val="false"/>
          <w:bCs w:val="false"/>
          <w:i w:val="false"/>
          <w:iCs w:val="false"/>
        </w:rPr>
        <w:t xml:space="preserve">THREE bands kept distinct: Voice comps (emulate the prose) / Period-context peers (calibration only) / Scale peers (the commercial scale NOT to chase). Each comp gets a BORROW / SKIP note. Never present a splatter-horror name as a voice comp for a slow-dread brand.</w:t>
      </w:r>
    </w:p>
    <w:p>
      <w:pPr>
        <w:pStyle w:val="ListParagraph"/>
        <w:numPr>
          <w:ilvl w:val="0"/>
          <w:numId w:val="2"/>
        </w:numPr>
        <w:spacing w:after="80" w:line="264"/>
      </w:pPr>
      <w:r>
        <w:rPr>
          <w:b/>
          <w:bCs/>
          <w:i w:val="false"/>
          <w:iCs w:val="false"/>
        </w:rPr>
        <w:t xml:space="preserve">05 — Reader Vocabulary. </w:t>
      </w:r>
      <w:r>
        <w:rPr>
          <w:b w:val="false"/>
          <w:bCs w:val="false"/>
          <w:i w:val="false"/>
          <w:iCs w:val="false"/>
        </w:rPr>
        <w:t xml:space="preserve">Exact keywords from the analytical passes for metadata, ads, blurb. Flag the gothic / folk-horror / literary-horror discovery clusters and period terms.</w:t>
      </w:r>
    </w:p>
    <w:p>
      <w:pPr>
        <w:pStyle w:val="ListParagraph"/>
        <w:numPr>
          <w:ilvl w:val="0"/>
          <w:numId w:val="2"/>
        </w:numPr>
        <w:spacing w:after="80" w:line="264"/>
      </w:pPr>
      <w:r>
        <w:rPr>
          <w:b/>
          <w:bCs/>
          <w:i w:val="false"/>
          <w:iCs w:val="false"/>
        </w:rPr>
        <w:t xml:space="preserve">06 — Market Gaps. </w:t>
      </w:r>
      <w:r>
        <w:rPr>
          <w:b w:val="false"/>
          <w:bCs w:val="false"/>
          <w:i w:val="false"/>
          <w:iCs w:val="false"/>
        </w:rPr>
        <w:t xml:space="preserve">Where reader demand outpaces supply. Each gap with a craft consideration. Distinguish data-CONFIRMED from INFERRED.</w:t>
      </w:r>
    </w:p>
    <w:p>
      <w:pPr>
        <w:pStyle w:val="ListParagraph"/>
        <w:numPr>
          <w:ilvl w:val="0"/>
          <w:numId w:val="2"/>
        </w:numPr>
        <w:spacing w:after="80" w:line="264"/>
      </w:pPr>
      <w:r>
        <w:rPr>
          <w:b/>
          <w:bCs/>
          <w:i w:val="false"/>
          <w:iCs w:val="false"/>
        </w:rPr>
        <w:t xml:space="preserve">07 — Oversupplied / Avoid. </w:t>
      </w:r>
      <w:r>
        <w:rPr>
          <w:b w:val="false"/>
          <w:bCs w:val="false"/>
          <w:i w:val="false"/>
          <w:iCs w:val="false"/>
        </w:rPr>
        <w:t xml:space="preserve">Saturated lanes: generic haunted-house, WWII-adjacent everything, zombie glut. Name them; do not lead there.</w:t>
      </w:r>
    </w:p>
    <w:p>
      <w:pPr>
        <w:pStyle w:val="ListParagraph"/>
        <w:numPr>
          <w:ilvl w:val="0"/>
          <w:numId w:val="2"/>
        </w:numPr>
        <w:spacing w:after="80" w:line="264"/>
      </w:pPr>
      <w:r>
        <w:rPr>
          <w:b/>
          <w:bCs/>
          <w:i w:val="false"/>
          <w:iCs w:val="false"/>
        </w:rPr>
        <w:t xml:space="preserve">08 — Risk Flags. </w:t>
      </w:r>
      <w:r>
        <w:rPr>
          <w:b w:val="false"/>
          <w:bCs w:val="false"/>
          <w:i w:val="false"/>
          <w:iCs w:val="false"/>
        </w:rPr>
        <w:t xml:space="preserve">Gravity wells the brand must resist (see synthesis rules below).</w:t>
      </w:r>
    </w:p>
    <w:p>
      <w:pPr>
        <w:pStyle w:val="ListParagraph"/>
        <w:numPr>
          <w:ilvl w:val="0"/>
          <w:numId w:val="2"/>
        </w:numPr>
        <w:spacing w:after="80" w:line="264"/>
      </w:pPr>
      <w:r>
        <w:rPr>
          <w:b/>
          <w:bCs/>
          <w:i w:val="false"/>
          <w:iCs w:val="false"/>
        </w:rPr>
        <w:t xml:space="preserve">09 — Story Seeds. </w:t>
      </w:r>
      <w:r>
        <w:rPr>
          <w:b w:val="false"/>
          <w:bCs w:val="false"/>
          <w:i w:val="false"/>
          <w:iCs w:val="false"/>
        </w:rPr>
        <w:t xml:space="preserve">3–5 generated seeds in worksheet shape, each gate-validated. Cut failing seeds and SHOW the cut with its reason. Stop at the seed.</w:t>
      </w:r>
    </w:p>
    <w:p>
      <w:pPr>
        <w:pStyle w:val="Heading2"/>
      </w:pPr>
      <w:r>
        <w:t xml:space="preserve">B. Synthesis rules (the non-negotiables)</w:t>
      </w:r>
    </w:p>
    <w:p>
      <w:pPr>
        <w:spacing w:after="160" w:line="276"/>
      </w:pPr>
      <w:r>
        <w:rPr>
          <w:b w:val="false"/>
          <w:bCs w:val="false"/>
          <w:i w:val="false"/>
          <w:iCs w:val="false"/>
        </w:rPr>
        <w:t xml:space="preserve">These are injected into the synthesis system prompt for this template. Every one names a specific failure mode — that is what makes them bite.</w:t>
      </w:r>
    </w:p>
    <w:p>
      <w:pPr>
        <w:pStyle w:val="ListParagraph"/>
        <w:numPr>
          <w:ilvl w:val="0"/>
          <w:numId w:val="3"/>
        </w:numPr>
        <w:spacing w:after="80" w:line="264"/>
      </w:pPr>
      <w:r>
        <w:rPr>
          <w:b w:val="false"/>
          <w:bCs w:val="false"/>
          <w:i w:val="false"/>
          <w:iCs w:val="false"/>
        </w:rPr>
        <w:t xml:space="preserve">Classify the Fear Stack by FUNCTION (Dread Source / Period Anchor / Threat Logic / Human Cost / Turn), never as a flat list of scary things. LEAD with the Dread Source: the specific fear is the single biggest competitive lever in historical horror.</w:t>
      </w:r>
    </w:p>
    <w:p>
      <w:pPr>
        <w:pStyle w:val="ListParagraph"/>
        <w:numPr>
          <w:ilvl w:val="0"/>
          <w:numId w:val="3"/>
        </w:numPr>
        <w:spacing w:after="80" w:line="264"/>
      </w:pPr>
      <w:r>
        <w:rPr>
          <w:b w:val="false"/>
          <w:bCs w:val="false"/>
          <w:i w:val="false"/>
          <w:iCs w:val="false"/>
        </w:rPr>
        <w:t xml:space="preserve">The period and locale are a committed, single choice for the work. Name the comp density and competition tier for the chosen period and the rejected ones. Never recommend hedging across several periods at once.</w:t>
      </w:r>
    </w:p>
    <w:p>
      <w:pPr>
        <w:pStyle w:val="ListParagraph"/>
        <w:numPr>
          <w:ilvl w:val="0"/>
          <w:numId w:val="3"/>
        </w:numPr>
        <w:spacing w:after="80" w:line="264"/>
      </w:pPr>
      <w:r>
        <w:rPr>
          <w:b w:val="false"/>
          <w:bCs w:val="false"/>
          <w:i w:val="false"/>
          <w:iCs w:val="false"/>
        </w:rPr>
        <w:t xml:space="preserve">Dread must be EARNED, not announced. The Threat Logic has to obey its own consistent rules the reader can infer; a monster that can do anything frightens no one. Flag “rules-free” threats as a craft failure on every Threat Logic recommendation.</w:t>
      </w:r>
    </w:p>
    <w:p>
      <w:pPr>
        <w:pStyle w:val="ListParagraph"/>
        <w:numPr>
          <w:ilvl w:val="0"/>
          <w:numId w:val="3"/>
        </w:numPr>
        <w:spacing w:after="80" w:line="264"/>
      </w:pPr>
      <w:r>
        <w:rPr>
          <w:b w:val="false"/>
          <w:bCs w:val="false"/>
          <w:i w:val="false"/>
          <w:iCs w:val="false"/>
        </w:rPr>
        <w:t xml:space="preserve">Atmosphere over gore. Hold the slow-dread tone contract: implication and accumulation, not splatter. Flag drift toward torture-porn, jump-scare reliance, or comedy-horror as off-brand for this pen name.</w:t>
      </w:r>
    </w:p>
    <w:p>
      <w:pPr>
        <w:pStyle w:val="ListParagraph"/>
        <w:numPr>
          <w:ilvl w:val="0"/>
          <w:numId w:val="3"/>
        </w:numPr>
        <w:spacing w:after="80" w:line="264"/>
      </w:pPr>
      <w:r>
        <w:rPr>
          <w:b w:val="false"/>
          <w:bCs w:val="false"/>
          <w:i w:val="false"/>
          <w:iCs w:val="false"/>
        </w:rPr>
        <w:t xml:space="preserve">Human Cost is mandatory. A seed where nothing the reader cares about is at stake fails by genre contract — treat its absence the way romance treats a missing HEA. Surface it in Cast &amp; POV and again in Risk Flags if missing.</w:t>
      </w:r>
    </w:p>
    <w:p>
      <w:pPr>
        <w:pStyle w:val="ListParagraph"/>
        <w:numPr>
          <w:ilvl w:val="0"/>
          <w:numId w:val="3"/>
        </w:numPr>
        <w:spacing w:after="80" w:line="264"/>
      </w:pPr>
      <w:r>
        <w:rPr>
          <w:b w:val="false"/>
          <w:bCs w:val="false"/>
          <w:i w:val="false"/>
          <w:iCs w:val="false"/>
        </w:rPr>
        <w:t xml:space="preserve">Period authenticity is a constraint, not decoration: the fear should arise FROM the period (its beliefs, isolation, medicine, labor), not be a modern plot in costume. Note this on every Period Anchor recommendation.</w:t>
      </w:r>
    </w:p>
    <w:p>
      <w:pPr>
        <w:pStyle w:val="ListParagraph"/>
        <w:numPr>
          <w:ilvl w:val="0"/>
          <w:numId w:val="3"/>
        </w:numPr>
        <w:spacing w:after="80" w:line="264"/>
      </w:pPr>
      <w:r>
        <w:rPr>
          <w:b w:val="false"/>
          <w:bCs w:val="false"/>
          <w:i w:val="false"/>
          <w:iCs w:val="false"/>
        </w:rPr>
        <w:t xml:space="preserve">Distinguish data-CONFIRMED findings from INFERRED ones; cite which analytical pass or market figure a finding came from.</w:t>
      </w:r>
    </w:p>
    <w:p>
      <w:pPr>
        <w:pStyle w:val="ListParagraph"/>
        <w:numPr>
          <w:ilvl w:val="0"/>
          <w:numId w:val="3"/>
        </w:numPr>
        <w:spacing w:after="80" w:line="264"/>
      </w:pPr>
      <w:r>
        <w:rPr>
          <w:b w:val="false"/>
          <w:bCs w:val="false"/>
          <w:i w:val="false"/>
          <w:iCs w:val="false"/>
        </w:rPr>
        <w:t xml:space="preserve">Surface the gravity wells in Risk Flags: the unhooked “historical horror” shelf, the haunted-house glut, anachronism-by-laziness, and tone drift toward splatter or parody.</w:t>
      </w:r>
    </w:p>
    <w:p>
      <w:pPr>
        <w:pStyle w:val="Heading2"/>
      </w:pPr>
      <w:r>
        <w:t xml:space="preserve">C. Quality gate (every idea runs through this)</w:t>
      </w:r>
    </w:p>
    <w:p>
      <w:pPr>
        <w:spacing w:after="160" w:line="276"/>
      </w:pPr>
      <w:r>
        <w:rPr>
          <w:b w:val="false"/>
          <w:bCs w:val="false"/>
          <w:i w:val="false"/>
          <w:iCs w:val="false"/>
        </w:rPr>
        <w:t xml:space="preserve">The marketability gate. A candidate idea that fails any check is cut, and the cut is shown with its reason — proving the gate fires.</w:t>
      </w:r>
    </w:p>
    <w:p>
      <w:pPr>
        <w:pStyle w:val="ListParagraph"/>
        <w:numPr>
          <w:ilvl w:val="0"/>
          <w:numId w:val="3"/>
        </w:numPr>
        <w:spacing w:after="80" w:line="264"/>
      </w:pPr>
      <w:r>
        <w:rPr>
          <w:b w:val="false"/>
          <w:bCs w:val="false"/>
          <w:i w:val="false"/>
          <w:iCs w:val="false"/>
        </w:rPr>
        <w:t xml:space="preserve">Dread discipline — is there ONE committed, specific Dread Source (a named fear with its own logic), not “spooky vibes”? A generic historical horror with no engine fails.</w:t>
      </w:r>
    </w:p>
    <w:p>
      <w:pPr>
        <w:pStyle w:val="ListParagraph"/>
        <w:numPr>
          <w:ilvl w:val="0"/>
          <w:numId w:val="3"/>
        </w:numPr>
        <w:spacing w:after="80" w:line="264"/>
      </w:pPr>
      <w:r>
        <w:rPr>
          <w:b w:val="false"/>
          <w:bCs w:val="false"/>
          <w:i w:val="false"/>
          <w:iCs w:val="false"/>
        </w:rPr>
        <w:t xml:space="preserve">Threat coherence — does the Threat Logic obey inferable rules the reader can learn and dread? An omnipotent or arbitrary threat fails.</w:t>
      </w:r>
    </w:p>
    <w:p>
      <w:pPr>
        <w:pStyle w:val="ListParagraph"/>
        <w:numPr>
          <w:ilvl w:val="0"/>
          <w:numId w:val="3"/>
        </w:numPr>
        <w:spacing w:after="80" w:line="264"/>
      </w:pPr>
      <w:r>
        <w:rPr>
          <w:b w:val="false"/>
          <w:bCs w:val="false"/>
          <w:i w:val="false"/>
          <w:iCs w:val="false"/>
        </w:rPr>
        <w:t xml:space="preserve">Human Cost — is there a person (or small circle) the reader is made to care about before the dread takes hold? A bodycount with no attachment fails.</w:t>
      </w:r>
    </w:p>
    <w:p>
      <w:pPr>
        <w:pStyle w:val="ListParagraph"/>
        <w:numPr>
          <w:ilvl w:val="0"/>
          <w:numId w:val="3"/>
        </w:numPr>
        <w:spacing w:after="80" w:line="264"/>
      </w:pPr>
      <w:r>
        <w:rPr>
          <w:b w:val="false"/>
          <w:bCs w:val="false"/>
          <w:i w:val="false"/>
          <w:iCs w:val="false"/>
        </w:rPr>
        <w:t xml:space="preserve">Period integrity — does the fear arise from the period itself, with authentic texture and no glaring anachronism? A modern thriller in costume fails.</w:t>
      </w:r>
    </w:p>
    <w:p>
      <w:pPr>
        <w:pStyle w:val="ListParagraph"/>
        <w:numPr>
          <w:ilvl w:val="0"/>
          <w:numId w:val="3"/>
        </w:numPr>
        <w:spacing w:after="80" w:line="264"/>
      </w:pPr>
      <w:r>
        <w:rPr>
          <w:b w:val="false"/>
          <w:bCs w:val="false"/>
          <w:i w:val="false"/>
          <w:iCs w:val="false"/>
        </w:rPr>
        <w:t xml:space="preserve">Tone fit — slow-dread, atmosphere-first tone held (implication over gore, no parody)? Drift to splatter / jump-scare / comedy-horror fails.</w:t>
      </w:r>
    </w:p>
    <w:p>
      <w:pPr>
        <w:pStyle w:val="ListParagraph"/>
        <w:numPr>
          <w:ilvl w:val="0"/>
          <w:numId w:val="3"/>
        </w:numPr>
        <w:spacing w:after="80" w:line="264"/>
      </w:pPr>
      <w:r>
        <w:rPr>
          <w:b w:val="false"/>
          <w:bCs w:val="false"/>
          <w:i w:val="false"/>
          <w:iCs w:val="false"/>
        </w:rPr>
        <w:t xml:space="preserve">Sounds-like-the-brand — read cold, would a reader of this pen name recognize it as one of theirs? If it reads like a different author’s book, cut it even if the market is hot.</w:t>
      </w:r>
    </w:p>
    <w:p>
      <w:pPr>
        <w:pStyle w:val="Heading2"/>
      </w:pPr>
      <w:r>
        <w:t xml:space="preserve">D. Seed framework (generic shape)</w:t>
      </w:r>
    </w:p>
    <w:p>
      <w:pPr>
        <w:spacing w:after="160" w:line="276"/>
      </w:pPr>
      <w:r>
        <w:rPr>
          <w:b w:val="false"/>
          <w:bCs w:val="false"/>
          <w:i w:val="false"/>
          <w:iCs w:val="false"/>
        </w:rPr>
        <w:t xml:space="preserve">The definition of the “idea” the report ends in. Keep </w:t>
      </w:r>
      <w:r>
        <w:rPr>
          <w:b w:val="false"/>
          <w:bCs w:val="false"/>
          <w:i/>
          <w:iCs/>
        </w:rPr>
        <w:t xml:space="preserve">your</w:t>
      </w:r>
      <w:r>
        <w:rPr>
          <w:b w:val="false"/>
          <w:bCs w:val="false"/>
          <w:i w:val="false"/>
          <w:iCs w:val="false"/>
        </w:rPr>
        <w:t xml:space="preserve"> framework’s philosophy your own — below is only the neutral </w:t>
      </w:r>
      <w:r>
        <w:rPr>
          <w:b w:val="false"/>
          <w:bCs w:val="false"/>
          <w:i/>
          <w:iCs/>
        </w:rPr>
        <w:t xml:space="preserve">shape</w:t>
      </w:r>
      <w:r>
        <w:rPr>
          <w:b w:val="false"/>
          <w:bCs w:val="false"/>
          <w:i w:val="false"/>
          <w:iCs w:val="false"/>
        </w:rPr>
        <w:t xml:space="preserve"> every seed should take, so the output stays consistent and stops at the seed.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8D2C4" w:sz="4"/>
              <w:left w:val="single" w:color="D8D2C4" w:sz="4"/>
              <w:bottom w:val="single" w:color="D8D2C4" w:sz="4"/>
              <w:right w:val="single" w:color="D8D2C4" w:sz="4"/>
            </w:tcBorders>
            <w:shd w:fill="F4F2EC" w:val="clear"/>
            <w:tcMar>
              <w:top w:type="dxa" w:w="120"/>
              <w:left w:type="dxa" w:w="160"/>
              <w:bottom w:type="dxa" w:w="120"/>
              <w:right w:type="dxa" w:w="160"/>
            </w:tcMar>
          </w:tcPr>
          <w:p>
            <w:pPr>
              <w:spacing w:after="0" w:line="240"/>
            </w:pPr>
            <w:r>
              <w:rPr>
                <w:rFonts w:ascii="Courier New" w:cs="Courier New" w:eastAsia="Courier New" w:hAnsi="Courier New"/>
                <w:sz w:val="17"/>
                <w:szCs w:val="17"/>
              </w:rPr>
              <w:t xml:space="preserve">FEAR-STACK SEED FRAMEWORK (shape only)</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Formula: Dread Source + Period Anchor + Threat Logic + Human Cost + Turn = Seed.</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Each generated seed outputs:</w:t>
            </w:r>
          </w:p>
          <w:p>
            <w:pPr>
              <w:spacing w:after="0" w:line="240"/>
            </w:pPr>
            <w:r>
              <w:rPr>
                <w:rFonts w:ascii="Courier New" w:cs="Courier New" w:eastAsia="Courier New" w:hAnsi="Courier New"/>
                <w:sz w:val="17"/>
                <w:szCs w:val="17"/>
              </w:rPr>
              <w:t xml:space="preserve">  - a short, evocative seed name;</w:t>
            </w:r>
          </w:p>
          <w:p>
            <w:pPr>
              <w:spacing w:after="0" w:line="240"/>
            </w:pPr>
            <w:r>
              <w:rPr>
                <w:rFonts w:ascii="Courier New" w:cs="Courier New" w:eastAsia="Courier New" w:hAnsi="Courier New"/>
                <w:sz w:val="17"/>
                <w:szCs w:val="17"/>
              </w:rPr>
              <w:t xml:space="preserve">  - the five labeled slots, one line each;</w:t>
            </w:r>
          </w:p>
          <w:p>
            <w:pPr>
              <w:spacing w:after="0" w:line="240"/>
            </w:pPr>
            <w:r>
              <w:rPr>
                <w:rFonts w:ascii="Courier New" w:cs="Courier New" w:eastAsia="Courier New" w:hAnsi="Courier New"/>
                <w:sz w:val="17"/>
                <w:szCs w:val="17"/>
              </w:rPr>
              <w:t xml:space="preserve">  - a Working Stack line (the five elements joined with +);</w:t>
            </w:r>
          </w:p>
          <w:p>
            <w:pPr>
              <w:spacing w:after="0" w:line="240"/>
            </w:pPr>
            <w:r>
              <w:rPr>
                <w:rFonts w:ascii="Courier New" w:cs="Courier New" w:eastAsia="Courier New" w:hAnsi="Courier New"/>
                <w:sz w:val="17"/>
                <w:szCs w:val="17"/>
              </w:rPr>
              <w:t xml:space="preserve">  - a 2-sentence Working Seed (a kept seed only; empty if cut);</w:t>
            </w:r>
          </w:p>
          <w:p>
            <w:pPr>
              <w:spacing w:after="0" w:line="240"/>
            </w:pPr>
            <w:r>
              <w:rPr>
                <w:rFonts w:ascii="Courier New" w:cs="Courier New" w:eastAsia="Courier New" w:hAnsi="Courier New"/>
                <w:sz w:val="17"/>
                <w:szCs w:val="17"/>
              </w:rPr>
              <w:t xml:space="preserve">  - the gate result line (pass/fail per check + a one-line note).</w:t>
            </w:r>
          </w:p>
          <w:p>
            <w:pPr>
              <w:spacing w:after="0" w:line="240"/>
            </w:pPr>
            <w:r>
              <w:rPr>
                <w:rFonts w:ascii="Courier New" w:cs="Courier New" w:eastAsia="Courier New" w:hAnsi="Courier New"/>
                <w:sz w:val="17"/>
                <w:szCs w:val="17"/>
              </w:rPr>
              <w:t xml:space="preserve"> </w:t>
            </w:r>
          </w:p>
          <w:p>
            <w:pPr>
              <w:spacing w:after="0" w:line="240"/>
            </w:pPr>
            <w:r>
              <w:rPr>
                <w:rFonts w:ascii="Courier New" w:cs="Courier New" w:eastAsia="Courier New" w:hAnsi="Courier New"/>
                <w:sz w:val="17"/>
                <w:szCs w:val="17"/>
              </w:rPr>
              <w:t xml:space="preserve">HARD BOUNDARY: the report STOPS at the seed. Do NOT expand a seed into a</w:t>
            </w:r>
          </w:p>
          <w:p>
            <w:pPr>
              <w:spacing w:after="0" w:line="240"/>
            </w:pPr>
            <w:r>
              <w:rPr>
                <w:rFonts w:ascii="Courier New" w:cs="Courier New" w:eastAsia="Courier New" w:hAnsi="Courier New"/>
                <w:sz w:val="17"/>
                <w:szCs w:val="17"/>
              </w:rPr>
              <w:t xml:space="preserve">chapter outline or full premise — that is the author's separate step.</w:t>
            </w:r>
          </w:p>
        </w:tc>
      </w:tr>
    </w:tbl>
    <w:p>
      <w:pPr>
        <w:pBdr>
          <w:bottom w:val="single" w:color="C8D6CD" w:sz="6" w:space="1"/>
        </w:pBdr>
        <w:spacing w:after="120" w:before="120"/>
      </w:pPr>
      <w:r>
        <w:t xml:space="preserve"/>
      </w:r>
    </w:p>
    <w:p>
      <w:pPr>
        <w:pStyle w:val="Heading1"/>
      </w:pPr>
      <w:bookmarkStart w:name="p3" w:id="1"/>
      <w:r>
        <w:t xml:space="preserve">Part 3 — Getting Inputs In Without Breaking Things</w:t>
      </w:r>
      <w:bookmarkEnd w:id="1"/>
    </w:p>
    <w:p>
      <w:pPr>
        <w:spacing w:after="160" w:line="276"/>
      </w:pPr>
      <w:r>
        <w:rPr>
          <w:b w:val="false"/>
          <w:bCs w:val="false"/>
          <w:i w:val="false"/>
          <w:iCs w:val="false"/>
        </w:rPr>
        <w:t xml:space="preserve">The brief says “paste your input corpus” as if that step is free. In practice it is where two real problems hide, and a new builder will hit both blind. Tell your AI about them up front.</w:t>
      </w:r>
    </w:p>
    <w:p>
      <w:pPr>
        <w:pStyle w:val="Heading2"/>
      </w:pPr>
      <w:r>
        <w:t xml:space="preserve">Problem 1 — You cannot scrape the marketplace</w:t>
      </w:r>
    </w:p>
    <w:p>
      <w:pPr>
        <w:spacing w:after="160" w:line="276"/>
      </w:pPr>
      <w:r>
        <w:rPr>
          <w:b w:val="false"/>
          <w:bCs w:val="false"/>
          <w:i w:val="false"/>
          <w:iCs w:val="false"/>
        </w:rPr>
        <w:t xml:space="preserve">The obvious instinct is to have the tool fetch bestseller lists automatically. Do not. Automated scraping of a retailer (Amazon and most others) violates their terms and gets blocked; a tool that hammers their servers as a bot is a liability you do not want in something you share publicly.</w:t>
      </w:r>
    </w:p>
    <w:p>
      <w:pPr>
        <w:spacing w:after="160" w:line="276"/>
      </w:pPr>
      <w:r>
        <w:rPr>
          <w:b w:val="false"/>
          <w:bCs w:val="false"/>
          <w:i w:val="false"/>
          <w:iCs w:val="false"/>
        </w:rPr>
        <w:t xml:space="preserve">The legitimate pattern is </w:t>
      </w:r>
      <w:r>
        <w:rPr>
          <w:b/>
          <w:bCs/>
          <w:i w:val="false"/>
          <w:iCs w:val="false"/>
        </w:rPr>
        <w:t xml:space="preserve">assisted reading, not scraping</w:t>
      </w:r>
      <w:r>
        <w:rPr>
          <w:b w:val="false"/>
          <w:bCs w:val="false"/>
          <w:i w:val="false"/>
          <w:iCs w:val="false"/>
        </w:rPr>
        <w:t xml:space="preserve">: the </w:t>
      </w:r>
      <w:r>
        <w:rPr>
          <w:b w:val="false"/>
          <w:bCs w:val="false"/>
          <w:i/>
          <w:iCs/>
        </w:rPr>
        <w:t xml:space="preserve">person</w:t>
      </w:r>
      <w:r>
        <w:rPr>
          <w:b w:val="false"/>
          <w:bCs w:val="false"/>
          <w:i w:val="false"/>
          <w:iCs w:val="false"/>
        </w:rPr>
        <w:t xml:space="preserve"> browses to a bestseller or category page they are lawfully viewing, and the tool reads only that one visible page (via a browser extension or a manual paste). It never auto-paginates, never follows a chain of links, never loops requests. One visible page per pass; if the user wants more, they navigate and ask again.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How a real engine handles this</w:t>
            </w:r>
          </w:p>
          <w:p>
            <w:pPr>
              <w:spacing w:line="264"/>
            </w:pPr>
            <w:r>
              <w:rPr>
                <w:b w:val="false"/>
                <w:bCs w:val="false"/>
                <w:i w:val="false"/>
                <w:iCs w:val="false"/>
              </w:rPr>
              <w:t xml:space="preserve">One author built a small “title-grab” helper that reads the single Amazon page the user is already viewing in their own browser, extracts each book’s title / author / shelf breadcrumb, and sorts them onto the brief’s input axes (hook shelf vs. calibration shelf vs. cut). It explicitly refuses to use any HTTP client to hit the retailer. The whole activity stays “assisted reading of a page the user is lawfully viewing,” which is fine — scraping is not.</w:t>
            </w:r>
          </w:p>
        </w:tc>
      </w:tr>
    </w:tbl>
    <w:p>
      <w:pPr>
        <w:spacing w:after="160" w:line="276"/>
      </w:pPr>
      <w:r>
        <w:rPr>
          <w:b w:val="false"/>
          <w:bCs w:val="false"/>
          <w:i w:val="false"/>
          <w:iCs w:val="false"/>
        </w:rPr>
        <w:t xml:space="preserve">Practical guidance for your build: support a plain </w:t>
      </w:r>
      <w:r>
        <w:rPr>
          <w:b/>
          <w:bCs/>
          <w:i w:val="false"/>
          <w:iCs w:val="false"/>
        </w:rPr>
        <w:t xml:space="preserve">paste</w:t>
      </w:r>
      <w:r>
        <w:rPr>
          <w:b w:val="false"/>
          <w:bCs w:val="false"/>
          <w:i w:val="false"/>
          <w:iCs w:val="false"/>
        </w:rPr>
        <w:t xml:space="preserve"> mode (one title per line) as the baseline — it always works and needs no integration. A browser-extension reader is a nice-to-have on top, not a requirement.</w:t>
      </w:r>
    </w:p>
    <w:p>
      <w:pPr>
        <w:pStyle w:val="Heading2"/>
      </w:pPr>
      <w:r>
        <w:t xml:space="preserve">Problem 2 — Don’t dump a whole research PDF into the model</w:t>
      </w:r>
    </w:p>
    <w:p>
      <w:pPr>
        <w:spacing w:after="160" w:line="276"/>
      </w:pPr>
      <w:r>
        <w:rPr>
          <w:b w:val="false"/>
          <w:bCs w:val="false"/>
          <w:i w:val="false"/>
          <w:iCs w:val="false"/>
        </w:rPr>
        <w:t xml:space="preserve">If you have a market-data report (a paid PDF, a dataset), the naive move is to shove its full text into the synthesis prompt. Two things go wrong: you blow the model’s context budget (synthesis only reads roughly the first few thousand characters of each supply doc), and you reproduce large blocks of someone else’s copyrighted material inside your tool.</w:t>
      </w:r>
    </w:p>
    <w:p>
      <w:pPr>
        <w:spacing w:after="160" w:line="276"/>
      </w:pPr>
      <w:r>
        <w:rPr>
          <w:b w:val="false"/>
          <w:bCs w:val="false"/>
          <w:i w:val="false"/>
          <w:iCs w:val="false"/>
        </w:rPr>
        <w:t xml:space="preserve">The pattern that works is </w:t>
      </w:r>
      <w:r>
        <w:rPr>
          <w:b/>
          <w:bCs/>
          <w:i w:val="false"/>
          <w:iCs w:val="false"/>
        </w:rPr>
        <w:t xml:space="preserve">curate a tight digest, don’t dump</w:t>
      </w:r>
      <w:r>
        <w:rPr>
          <w:b w:val="false"/>
          <w:bCs w:val="false"/>
          <w:i w:val="false"/>
          <w:iCs w:val="false"/>
        </w:rPr>
        <w:t xml:space="preserve">. Hand-write (or have the AI write) a compact, ASCII digest of only the high-value numbers and the interpretation, and </w:t>
      </w:r>
      <w:r>
        <w:rPr>
          <w:b/>
          <w:bCs/>
          <w:i w:val="false"/>
          <w:iCs w:val="false"/>
        </w:rPr>
        <w:t xml:space="preserve">front-load the actionable part</w:t>
      </w:r>
      <w:r>
        <w:rPr>
          <w:b w:val="false"/>
          <w:bCs w:val="false"/>
          <w:i w:val="false"/>
          <w:iCs w:val="false"/>
        </w:rPr>
        <w:t xml:space="preserve"> so that if anything gets truncated, it is the tail of a data table — never the guidance.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How a real engine handles this</w:t>
            </w:r>
          </w:p>
          <w:p>
            <w:pPr>
              <w:spacing w:line="264"/>
            </w:pPr>
            <w:r>
              <w:rPr>
                <w:b w:val="false"/>
                <w:bCs w:val="false"/>
                <w:i w:val="false"/>
                <w:iCs w:val="false"/>
              </w:rPr>
              <w:t xml:space="preserve">An import helper reads each market-data PDF, then writes a digest under a hard character budget in a fixed order: a one-line header, the market-size and financial figures, then the INTERPRETATION (what to pursue / avoid) near the TOP, then the long strategy/index tables last. It verifies the interpretation lands well inside the budget before saving. Raw PDF text is never stored. The digest, not the PDF, is what the engine feeds into synthesis.</w:t>
            </w:r>
          </w:p>
        </w:tc>
      </w:tr>
    </w:tbl>
    <w:p>
      <w:pPr>
        <w:spacing w:after="160" w:line="276"/>
      </w:pPr>
      <w:r>
        <w:rPr>
          <w:b w:val="false"/>
          <w:bCs w:val="false"/>
          <w:i w:val="false"/>
          <w:iCs w:val="false"/>
        </w:rPr>
        <w:t xml:space="preserve">If you have </w:t>
      </w:r>
      <w:r>
        <w:rPr>
          <w:b w:val="false"/>
          <w:bCs w:val="false"/>
          <w:i/>
          <w:iCs/>
        </w:rPr>
        <w:t xml:space="preserve">no</w:t>
      </w:r>
      <w:r>
        <w:rPr>
          <w:b w:val="false"/>
          <w:bCs w:val="false"/>
          <w:i w:val="false"/>
          <w:iCs w:val="false"/>
        </w:rPr>
        <w:t xml:space="preserve"> data source, that is fine — the engine runs on the analytical passes alone, and the report simply marks findings “inferred” rather than “confirmed.” A data source upgrades confidence; it is not required to start.</w:t>
      </w:r>
    </w:p>
    <w:p>
      <w:pPr>
        <w:pStyle w:val="Heading2"/>
      </w:pPr>
      <w:r>
        <w:t xml:space="preserve">The short version</w:t>
      </w:r>
    </w:p>
    <w:p>
      <w:pPr>
        <w:pStyle w:val="ListParagraph"/>
        <w:numPr>
          <w:ilvl w:val="0"/>
          <w:numId w:val="2"/>
        </w:numPr>
        <w:spacing w:after="80" w:line="264"/>
      </w:pPr>
      <w:r>
        <w:rPr>
          <w:b/>
          <w:bCs/>
          <w:i w:val="false"/>
          <w:iCs w:val="false"/>
        </w:rPr>
        <w:t xml:space="preserve">Inputs come from a human browsing, not a bot crawling. </w:t>
      </w:r>
      <w:r>
        <w:rPr>
          <w:b w:val="false"/>
          <w:bCs w:val="false"/>
          <w:i w:val="false"/>
          <w:iCs w:val="false"/>
        </w:rPr>
        <w:t xml:space="preserve">Baseline is paste; assisted single-page reading is the only acceptable automation.</w:t>
      </w:r>
    </w:p>
    <w:p>
      <w:pPr>
        <w:pStyle w:val="ListParagraph"/>
        <w:numPr>
          <w:ilvl w:val="0"/>
          <w:numId w:val="2"/>
        </w:numPr>
        <w:spacing w:after="80" w:line="264"/>
      </w:pPr>
      <w:r>
        <w:rPr>
          <w:b/>
          <w:bCs/>
          <w:i w:val="false"/>
          <w:iCs w:val="false"/>
        </w:rPr>
        <w:t xml:space="preserve">Market-data documents get curated into a short digest, </w:t>
      </w:r>
      <w:r>
        <w:rPr>
          <w:b w:val="false"/>
          <w:bCs w:val="false"/>
          <w:i w:val="false"/>
          <w:iCs w:val="false"/>
        </w:rPr>
        <w:t xml:space="preserve">interpretation front-loaded, raw text never stored — for both budget and copyright reasons.</w:t>
      </w:r>
    </w:p>
    <w:p>
      <w:pPr>
        <w:pStyle w:val="ListParagraph"/>
        <w:numPr>
          <w:ilvl w:val="0"/>
          <w:numId w:val="2"/>
        </w:numPr>
        <w:spacing w:after="80" w:line="264"/>
      </w:pPr>
      <w:r>
        <w:rPr>
          <w:b/>
          <w:bCs/>
          <w:i w:val="false"/>
          <w:iCs w:val="false"/>
        </w:rPr>
        <w:t xml:space="preserve">No data source is a valid starting state. </w:t>
      </w:r>
      <w:r>
        <w:rPr>
          <w:b w:val="false"/>
          <w:bCs w:val="false"/>
          <w:i w:val="false"/>
          <w:iCs w:val="false"/>
        </w:rPr>
        <w:t xml:space="preserve">The engine degrades gracefully to “inferred,” and you can bind real data later.</w:t>
      </w:r>
    </w:p>
    <w:p>
      <w:pPr>
        <w:pStyle w:val="Heading1"/>
      </w:pPr>
      <w:bookmarkStart w:name="p4" w:id="1"/>
      <w:r>
        <w:t xml:space="preserve">Part 4 — What Goes Wrong On A First Build</w:t>
      </w:r>
      <w:bookmarkEnd w:id="1"/>
    </w:p>
    <w:p>
      <w:pPr>
        <w:spacing w:after="160" w:line="276"/>
      </w:pPr>
      <w:r>
        <w:rPr>
          <w:b w:val="false"/>
          <w:bCs w:val="false"/>
          <w:i w:val="false"/>
          <w:iCs w:val="false"/>
        </w:rPr>
        <w:t xml:space="preserve">Every item below is a real failure from building one of these engines, generalized. They are listed in rough order of how much pain they cause. Read this section to your AI before you start — most of these are far cheaper to prevent than to debug.</w:t>
      </w:r>
    </w:p>
    <w:p>
      <w:pPr>
        <w:pStyle w:val="Heading2"/>
      </w:pPr>
      <w:r>
        <w:t xml:space="preserve">1. The idea stage returns nothing on long reports</w:t>
      </w:r>
    </w:p>
    <w:p>
      <w:pPr>
        <w:spacing w:after="160" w:line="276"/>
      </w:pPr>
      <w:r>
        <w:rPr>
          <w:b/>
          <w:bCs/>
          <w:i w:val="false"/>
          <w:iCs w:val="false"/>
        </w:rPr>
        <w:t xml:space="preserve">Symptom: </w:t>
      </w:r>
      <w:r>
        <w:rPr>
          <w:b w:val="false"/>
          <w:bCs w:val="false"/>
          <w:i w:val="false"/>
          <w:iCs w:val="false"/>
        </w:rPr>
        <w:t xml:space="preserve">everything works on short runs, then on a long, content-rich report the final ideas come back empty (“no ideas were parsed”) — intermittently, which makes it maddening.</w:t>
      </w:r>
    </w:p>
    <w:p>
      <w:pPr>
        <w:spacing w:after="160" w:line="276"/>
      </w:pPr>
      <w:r>
        <w:rPr>
          <w:b/>
          <w:bCs/>
          <w:i w:val="false"/>
          <w:iCs w:val="false"/>
        </w:rPr>
        <w:t xml:space="preserve">Cause: </w:t>
      </w:r>
      <w:r>
        <w:rPr>
          <w:b w:val="false"/>
          <w:bCs w:val="false"/>
          <w:i w:val="false"/>
          <w:iCs w:val="false"/>
        </w:rPr>
        <w:t xml:space="preserve">three things compounding. The idea stage was fed the ENTIRE finished report (tens of thousands of tokens), the call had no continuation when it hit the output cap, and the JSON parser swallowed its own failure and returned an empty list silently — so the real error was invisible.</w:t>
      </w:r>
    </w:p>
    <w:p>
      <w:pPr>
        <w:spacing w:after="160" w:line="276"/>
      </w:pPr>
      <w:r>
        <w:rPr>
          <w:b/>
          <w:bCs/>
          <w:i w:val="false"/>
          <w:iCs w:val="false"/>
        </w:rPr>
        <w:t xml:space="preserve">Fix: </w:t>
      </w:r>
      <w:r>
        <w:rPr>
          <w:b w:val="false"/>
          <w:bCs w:val="false"/>
          <w:i w:val="false"/>
          <w:iCs w:val="false"/>
        </w:rPr>
        <w:t xml:space="preserve">feed the idea generator ONLY the few sections it actually needs (the header/verdict, the core element breakdown, and the avoid/risk sections), not the whole report. Use a call mode that continues if the JSON gets cut off at the token cap. And never let a parse failure return an empty array silently — log the raw output so the next failure is diagnosable. The first two cut the input from ~30K tokens to ~3–4K and the problem disappears; the third means if it ever recurs you can see why.</w:t>
      </w:r>
    </w:p>
    <w:p>
      <w:pPr>
        <w:pStyle w:val="Heading2"/>
      </w:pPr>
      <w:r>
        <w:t xml:space="preserve">2. A re-run of your seed/setup script wipes your live data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F1EC" w:sz="1"/>
              <w:left w:val="single" w:color="2E6B4F" w:sz="24"/>
              <w:bottom w:val="single" w:color="E8F1EC" w:sz="1"/>
              <w:right w:val="single" w:color="E8F1EC" w:sz="1"/>
            </w:tcBorders>
            <w:shd w:fill="E8F1EC" w:val="clear"/>
            <w:tcMar>
              <w:top w:type="dxa" w:w="140"/>
              <w:left w:type="dxa" w:w="200"/>
              <w:bottom w:type="dxa" w:w="140"/>
              <w:right w:type="dxa" w:w="200"/>
            </w:tcMar>
          </w:tcPr>
          <w:p>
            <w:pPr>
              <w:spacing w:after="60"/>
            </w:pPr>
            <w:r>
              <w:rPr>
                <w:b/>
                <w:bCs/>
                <w:color w:val="2E6B4F"/>
              </w:rPr>
              <w:t xml:space="preserve">The expensive one</w:t>
            </w:r>
          </w:p>
          <w:p>
            <w:pPr>
              <w:spacing w:line="264"/>
            </w:pPr>
            <w:r>
              <w:rPr>
                <w:b w:val="false"/>
                <w:bCs w:val="false"/>
                <w:i w:val="false"/>
                <w:iCs w:val="false"/>
              </w:rPr>
              <w:t xml:space="preserve">On a free database tier with no backups, re-running a setup script that began with a destructive “clear everything” statement cascaded through the tables and permanently destroyed every generated report and saved idea. They existed only in the live database, not in any file. There was no undo.</w:t>
            </w:r>
          </w:p>
        </w:tc>
      </w:tr>
    </w:tbl>
    <w:p>
      <w:pPr>
        <w:spacing w:after="160" w:line="276"/>
      </w:pPr>
      <w:r>
        <w:rPr>
          <w:b/>
          <w:bCs/>
          <w:i w:val="false"/>
          <w:iCs w:val="false"/>
        </w:rPr>
        <w:t xml:space="preserve">Fix: </w:t>
      </w:r>
      <w:r>
        <w:rPr>
          <w:b w:val="false"/>
          <w:bCs w:val="false"/>
          <w:i w:val="false"/>
          <w:iCs w:val="false"/>
        </w:rPr>
        <w:t xml:space="preserve">make every setup/seed script </w:t>
      </w:r>
      <w:r>
        <w:rPr>
          <w:b/>
          <w:bCs/>
          <w:i w:val="false"/>
          <w:iCs w:val="false"/>
        </w:rPr>
        <w:t xml:space="preserve">idempotent and non-destructive</w:t>
      </w:r>
      <w:r>
        <w:rPr>
          <w:b w:val="false"/>
          <w:bCs w:val="false"/>
          <w:i w:val="false"/>
          <w:iCs w:val="false"/>
        </w:rPr>
        <w:t xml:space="preserve"> — use “insert, or update if it already exists” (in Postgres, INSERT ... ON CONFLICT DO UPDATE), never “delete all then insert.” If you must keep a destructive reset for development, comment it out behind a loud warning. And set up a backup the day you start generating real data, not the day after you lose it. This single habit would have prevented the worst loss in the whole build.</w:t>
      </w:r>
    </w:p>
    <w:p>
      <w:pPr>
        <w:pStyle w:val="Heading2"/>
      </w:pPr>
      <w:r>
        <w:t xml:space="preserve">3. Your data source binds to nothing — silently</w:t>
      </w:r>
    </w:p>
    <w:p>
      <w:pPr>
        <w:spacing w:after="160" w:line="276"/>
      </w:pPr>
      <w:r>
        <w:rPr>
          <w:b/>
          <w:bCs/>
          <w:i w:val="false"/>
          <w:iCs w:val="false"/>
        </w:rPr>
        <w:t xml:space="preserve">Symptom: </w:t>
      </w:r>
      <w:r>
        <w:rPr>
          <w:b w:val="false"/>
          <w:bCs w:val="false"/>
          <w:i w:val="false"/>
          <w:iCs w:val="false"/>
        </w:rPr>
        <w:t xml:space="preserve">you imported your market data, but reports still say “inferred” instead of “confirmed,” with no error anywhere.</w:t>
      </w:r>
    </w:p>
    <w:p>
      <w:pPr>
        <w:spacing w:after="160" w:line="276"/>
      </w:pPr>
      <w:r>
        <w:rPr>
          <w:b/>
          <w:bCs/>
          <w:i w:val="false"/>
          <w:iCs w:val="false"/>
        </w:rPr>
        <w:t xml:space="preserve">Cause: </w:t>
      </w:r>
      <w:r>
        <w:rPr>
          <w:b w:val="false"/>
          <w:bCs w:val="false"/>
          <w:i w:val="false"/>
          <w:iCs w:val="false"/>
        </w:rPr>
        <w:t xml:space="preserve">the subject lens points at a data document by a slug/ID, and the slug in the binding did not EXACTLY match the slug on the stored document. A lookup that finds nothing returns an empty list, which the pipeline treats as “no data bound” — a legitimate state — so nothing errors. A single typo or date mismatch fails open and quiet.</w:t>
      </w:r>
    </w:p>
    <w:p>
      <w:pPr>
        <w:spacing w:after="160" w:line="276"/>
      </w:pPr>
      <w:r>
        <w:rPr>
          <w:b/>
          <w:bCs/>
          <w:i w:val="false"/>
          <w:iCs w:val="false"/>
        </w:rPr>
        <w:t xml:space="preserve">Fix: </w:t>
      </w:r>
      <w:r>
        <w:rPr>
          <w:b w:val="false"/>
          <w:bCs w:val="false"/>
          <w:i w:val="false"/>
          <w:iCs w:val="false"/>
        </w:rPr>
        <w:t xml:space="preserve">treat the binding-to-document match as a thing to verify explicitly. Have the supply stage report how many documents it actually loaded (“Loaded 0 supply documents” is the tell), and check that count on the first run after any import. When in doubt, copy the slug from the stored row; do not retype it.</w:t>
      </w:r>
    </w:p>
    <w:p>
      <w:pPr>
        <w:pStyle w:val="Heading2"/>
      </w:pPr>
      <w:r>
        <w:t xml:space="preserve">4. Reports balloon and get slower and more expensive every run</w:t>
      </w:r>
    </w:p>
    <w:p>
      <w:pPr>
        <w:spacing w:after="160" w:line="276"/>
      </w:pPr>
      <w:r>
        <w:rPr>
          <w:b/>
          <w:bCs/>
          <w:i w:val="false"/>
          <w:iCs w:val="false"/>
        </w:rPr>
        <w:t xml:space="preserve">Symptom: </w:t>
      </w:r>
      <w:r>
        <w:rPr>
          <w:b w:val="false"/>
          <w:bCs w:val="false"/>
          <w:i w:val="false"/>
          <w:iCs w:val="false"/>
        </w:rPr>
        <w:t xml:space="preserve">output keeps getting longer, runs cost more, and the length is what eventually overloads the idea stage (see #1).</w:t>
      </w:r>
    </w:p>
    <w:p>
      <w:pPr>
        <w:spacing w:after="160" w:line="276"/>
      </w:pPr>
      <w:r>
        <w:rPr>
          <w:b/>
          <w:bCs/>
          <w:i w:val="false"/>
          <w:iCs w:val="false"/>
        </w:rPr>
        <w:t xml:space="preserve">Cause: </w:t>
      </w:r>
      <w:r>
        <w:rPr>
          <w:b w:val="false"/>
          <w:bCs w:val="false"/>
          <w:i w:val="false"/>
          <w:iCs w:val="false"/>
        </w:rPr>
        <w:t xml:space="preserve">no length governor. Generous token caps plus generous continuation effectively REWARD length and never cap it, so each section sprawls.</w:t>
      </w:r>
    </w:p>
    <w:p>
      <w:pPr>
        <w:spacing w:after="160" w:line="276"/>
      </w:pPr>
      <w:r>
        <w:rPr>
          <w:b/>
          <w:bCs/>
          <w:i w:val="false"/>
          <w:iCs w:val="false"/>
        </w:rPr>
        <w:t xml:space="preserve">Fix: </w:t>
      </w:r>
      <w:r>
        <w:rPr>
          <w:b w:val="false"/>
          <w:bCs w:val="false"/>
          <w:i w:val="false"/>
          <w:iCs w:val="false"/>
        </w:rPr>
        <w:t xml:space="preserve">put a word-count target in each section’s guidance (“~450–550 words; be selective, cut to the highest-signal findings”) AND set a token cap that agrees with it, so the prose target and the hard ceiling reinforce each other. Bound the output deliberately; do not let it grow by default.</w:t>
      </w:r>
    </w:p>
    <w:p>
      <w:pPr>
        <w:pStyle w:val="Heading2"/>
      </w:pPr>
      <w:r>
        <w:t xml:space="preserve">5. Adding a new domain forces you to edit the engine</w:t>
      </w:r>
    </w:p>
    <w:p>
      <w:pPr>
        <w:spacing w:after="160" w:line="276"/>
      </w:pPr>
      <w:r>
        <w:rPr>
          <w:b/>
          <w:bCs/>
          <w:i w:val="false"/>
          <w:iCs w:val="false"/>
        </w:rPr>
        <w:t xml:space="preserve">Symptom: </w:t>
      </w:r>
      <w:r>
        <w:rPr>
          <w:b w:val="false"/>
          <w:bCs w:val="false"/>
          <w:i w:val="false"/>
          <w:iCs w:val="false"/>
        </w:rPr>
        <w:t xml:space="preserve">you go to add a second subject area and discover the rules for the first one are hardcoded in the pipeline code, so the new domain inherits the wrong rules.</w:t>
      </w:r>
    </w:p>
    <w:p>
      <w:pPr>
        <w:spacing w:after="160" w:line="276"/>
      </w:pPr>
      <w:r>
        <w:rPr>
          <w:b/>
          <w:bCs/>
          <w:i w:val="false"/>
          <w:iCs w:val="false"/>
        </w:rPr>
        <w:t xml:space="preserve">Cause: </w:t>
      </w:r>
      <w:r>
        <w:rPr>
          <w:b w:val="false"/>
          <w:bCs w:val="false"/>
          <w:i w:val="false"/>
          <w:iCs w:val="false"/>
        </w:rPr>
        <w:t xml:space="preserve">the domain-specific “non-negotiable rules” were written into the engine instead of stored as configuration.</w:t>
      </w:r>
    </w:p>
    <w:p>
      <w:pPr>
        <w:spacing w:after="160" w:line="276"/>
      </w:pPr>
      <w:r>
        <w:rPr>
          <w:b/>
          <w:bCs/>
          <w:i w:val="false"/>
          <w:iCs w:val="false"/>
        </w:rPr>
        <w:t xml:space="preserve">Fix: </w:t>
      </w:r>
      <w:r>
        <w:rPr>
          <w:b w:val="false"/>
          <w:bCs w:val="false"/>
          <w:i w:val="false"/>
          <w:iCs w:val="false"/>
        </w:rPr>
        <w:t xml:space="preserve">this is the whole thesis of the brief — the rules belong in the report template (data), not in the pipeline (code). If you ever find yourself editing the engine to support a new subject, that is the signal something was hardcoded that should have been config. Move it into the profile. Done right, a new domain is a new row, full stop.</w:t>
      </w:r>
    </w:p>
    <w:p>
      <w:pPr>
        <w:pStyle w:val="Heading2"/>
      </w:pPr>
      <w:r>
        <w:t xml:space="preserve">6. Your AI assistant silently corrupts files as it edits them</w:t>
      </w:r>
    </w:p>
    <w:p>
      <w:pPr>
        <w:spacing w:after="160" w:line="276"/>
      </w:pPr>
      <w:r>
        <w:rPr>
          <w:b/>
          <w:bCs/>
          <w:i w:val="false"/>
          <w:iCs w:val="false"/>
        </w:rPr>
        <w:t xml:space="preserve">Symptom: </w:t>
      </w:r>
      <w:r>
        <w:rPr>
          <w:b w:val="false"/>
          <w:bCs w:val="false"/>
          <w:i w:val="false"/>
          <w:iCs w:val="false"/>
        </w:rPr>
        <w:t xml:space="preserve">a file the AI just “successfully” edited is truncated mid-line, or has stray junk at the end, and the app won’t build — but the tool reported success.</w:t>
      </w:r>
    </w:p>
    <w:p>
      <w:pPr>
        <w:spacing w:after="160" w:line="276"/>
      </w:pPr>
      <w:r>
        <w:rPr>
          <w:b/>
          <w:bCs/>
          <w:i w:val="false"/>
          <w:iCs w:val="false"/>
        </w:rPr>
        <w:t xml:space="preserve">Cause: </w:t>
      </w:r>
      <w:r>
        <w:rPr>
          <w:b w:val="false"/>
          <w:bCs w:val="false"/>
          <w:i w:val="false"/>
          <w:iCs w:val="false"/>
        </w:rPr>
        <w:t xml:space="preserve">some editing tools choke on special characters (em-dashes, ellipses, checkmark glyphs) or large writes, and write a partial file while reporting success. (You may notice this even in the documents you are reading — keeping content ASCII-only sidesteps it.)</w:t>
      </w:r>
    </w:p>
    <w:p>
      <w:pPr>
        <w:spacing w:after="160" w:line="276"/>
      </w:pPr>
      <w:r>
        <w:rPr>
          <w:b/>
          <w:bCs/>
          <w:i w:val="false"/>
          <w:iCs w:val="false"/>
        </w:rPr>
        <w:t xml:space="preserve">Fix: </w:t>
      </w:r>
      <w:r>
        <w:rPr>
          <w:b w:val="false"/>
          <w:bCs w:val="false"/>
          <w:i w:val="false"/>
          <w:iCs w:val="false"/>
        </w:rPr>
        <w:t xml:space="preserve">two cheap habits. First, </w:t>
      </w:r>
      <w:r>
        <w:rPr>
          <w:b/>
          <w:bCs/>
          <w:i w:val="false"/>
          <w:iCs w:val="false"/>
        </w:rPr>
        <w:t xml:space="preserve">put the project under version control on day one</w:t>
      </w:r>
      <w:r>
        <w:rPr>
          <w:b w:val="false"/>
          <w:bCs w:val="false"/>
          <w:i w:val="false"/>
          <w:iCs w:val="false"/>
        </w:rPr>
        <w:t xml:space="preserve"> — with git, any corruption is a one-command restore instead of a rewrite. Second, after the AI edits a file, have it verify the write: confirm the file ends cleanly, that brackets balance, and that the app still builds. Prefer plain ASCII (a simple hyphen, not an em-dash) in code and data to avoid the trigger entirely.</w:t>
      </w:r>
    </w:p>
    <w:p>
      <w:pPr>
        <w:pStyle w:val="Heading2"/>
      </w:pPr>
      <w:r>
        <w:t xml:space="preserve">The two habits that prevent half of these</w:t>
      </w:r>
    </w:p>
    <w:p>
      <w:pPr>
        <w:pStyle w:val="ListParagraph"/>
        <w:numPr>
          <w:ilvl w:val="0"/>
          <w:numId w:val="2"/>
        </w:numPr>
        <w:spacing w:after="80" w:line="264"/>
      </w:pPr>
      <w:r>
        <w:rPr>
          <w:b/>
          <w:bCs/>
          <w:i w:val="false"/>
          <w:iCs w:val="false"/>
        </w:rPr>
        <w:t xml:space="preserve">Version control and a backup from the first hour. </w:t>
      </w:r>
      <w:r>
        <w:rPr>
          <w:b w:val="false"/>
          <w:bCs w:val="false"/>
          <w:i w:val="false"/>
          <w:iCs w:val="false"/>
        </w:rPr>
        <w:t xml:space="preserve">Git turns file corruption and bad edits into instant restores; a database backup turns a catastrophic wipe into a five-minute recovery. Most of the real pain above traces back to not having these in place yet.</w:t>
      </w:r>
    </w:p>
    <w:p>
      <w:pPr>
        <w:pStyle w:val="ListParagraph"/>
        <w:numPr>
          <w:ilvl w:val="0"/>
          <w:numId w:val="2"/>
        </w:numPr>
        <w:spacing w:after="80" w:line="264"/>
      </w:pPr>
      <w:r>
        <w:rPr>
          <w:b/>
          <w:bCs/>
          <w:i w:val="false"/>
          <w:iCs w:val="false"/>
        </w:rPr>
        <w:t xml:space="preserve">Make failures loud, not silent. </w:t>
      </w:r>
      <w:r>
        <w:rPr>
          <w:b w:val="false"/>
          <w:bCs w:val="false"/>
          <w:i w:val="false"/>
          <w:iCs w:val="false"/>
        </w:rPr>
        <w:t xml:space="preserve">The worst bugs here all “failed open” — empty ideas, empty bindings, partial files — each reported success while doing nothing. When you build, prefer a visible error or a logged diagnostic over a quiet empty result everywhere you can.</w:t>
      </w:r>
    </w:p>
    <w:p>
      <w:pPr>
        <w:pBdr>
          <w:bottom w:val="single" w:color="C8D6CD" w:sz="6" w:space="1"/>
        </w:pBdr>
        <w:spacing w:after="120" w:before="12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55555"/>
        <w:sz w:val="16"/>
        <w:szCs w:val="16"/>
      </w:rPr>
      <w:t xml:space="preserve">Page </w:t>
    </w:r>
    <w:r>
      <w:rPr>
        <w:color w:val="55555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8D6CD" w:sz="4" w:space="4"/>
      </w:pBdr>
      <w:jc w:val="right"/>
    </w:pPr>
    <w:r>
      <w:rPr>
        <w:color w:val="555555"/>
        <w:sz w:val="16"/>
        <w:szCs w:val="16"/>
      </w:rPr>
      <w:t xml:space="preserve">Starter Example Pack — companion to the AI Development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640" w:hanging="400"/>
      </w:pPr>
    </w:lvl>
  </w:abstractNum>
  <w:abstractNum w:abstractNumId="4" w15:restartNumberingAfterBreak="0">
    <w:multiLevelType w:val="hybridMultilevel"/>
    <w:lvl w:ilvl="0" w15:tentative="1">
      <w:start w:val="1"/>
      <w:numFmt w:val="decimal"/>
      <w:lvlText w:val="%1."/>
      <w:lvlJc w:val="left"/>
      <w:pPr>
        <w:ind w:left="640" w:hanging="400"/>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C8D6CD" w:sz="8" w:space="4"/>
      </w:pBdr>
      <w:spacing w:after="160" w:before="320"/>
      <w:outlineLvl w:val="0"/>
    </w:pPr>
    <w:rPr>
      <w:rFonts w:ascii="Calibri" w:cs="Calibri" w:eastAsia="Calibri" w:hAnsi="Calibri"/>
      <w:b/>
      <w:bCs/>
      <w:color w:val="2E6B4F"/>
      <w:sz w:val="30"/>
      <w:szCs w:val="30"/>
    </w:rPr>
  </w:style>
  <w:style w:type="paragraph" w:styleId="Heading2">
    <w:name w:val="Heading 2"/>
    <w:basedOn w:val="Normal"/>
    <w:next w:val="Normal"/>
    <w:qFormat/>
    <w:pPr>
      <w:spacing w:after="100" w:before="240"/>
      <w:outlineLvl w:val="1"/>
    </w:pPr>
    <w:rPr>
      <w:rFonts w:ascii="Calibri" w:cs="Calibri" w:eastAsia="Calibri" w:hAnsi="Calibri"/>
      <w:b/>
      <w:bCs/>
      <w:color w:val="23503B"/>
      <w:sz w:val="25"/>
      <w:szCs w:val="25"/>
    </w:rPr>
  </w:style>
  <w:style w:type="paragraph" w:styleId="Heading3">
    <w:name w:val="Heading 3"/>
    <w:basedOn w:val="Normal"/>
    <w:next w:val="Normal"/>
    <w:qFormat/>
    <w:pPr>
      <w:spacing w:after="60" w:before="180"/>
      <w:outlineLvl w:val="2"/>
    </w:pPr>
    <w:rPr>
      <w:rFonts w:ascii="Calibri" w:cs="Calibri" w:eastAsia="Calibri" w:hAnsi="Calibri"/>
      <w:b/>
      <w:bCs/>
      <w:color w:val="111111"/>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Market-Intelligence Engine — Starter Example Pack</dc:title>
  <dc:creator>Angie</dc:creator>
  <cp:lastModifiedBy>Un-named</cp:lastModifiedBy>
  <cp:revision>1</cp:revision>
  <dcterms:created xsi:type="dcterms:W3CDTF">2026-05-24T00:36:42.687Z</dcterms:created>
  <dcterms:modified xsi:type="dcterms:W3CDTF">2026-05-24T00:36:42.687Z</dcterms:modified>
</cp:coreProperties>
</file>

<file path=docProps/custom.xml><?xml version="1.0" encoding="utf-8"?>
<Properties xmlns="http://schemas.openxmlformats.org/officeDocument/2006/custom-properties" xmlns:vt="http://schemas.openxmlformats.org/officeDocument/2006/docPropsVTypes"/>
</file>